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5A" w:rsidRDefault="00D9755A" w:rsidP="00D97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55A" w:rsidRPr="00D9755A" w:rsidRDefault="00D9755A" w:rsidP="00D9755A">
      <w:pPr>
        <w:spacing w:after="0" w:line="240" w:lineRule="auto"/>
        <w:rPr>
          <w:rFonts w:ascii="Times New Roman" w:eastAsia="Arial CE" w:hAnsi="Times New Roman" w:cs="Times New Roman"/>
          <w:b/>
          <w:color w:val="000000"/>
          <w:sz w:val="24"/>
          <w:szCs w:val="24"/>
          <w:lang w:eastAsia="sk-SK"/>
        </w:rPr>
      </w:pPr>
      <w:r w:rsidRPr="00D9755A">
        <w:rPr>
          <w:rFonts w:ascii="Times New Roman" w:eastAsia="Arial CE" w:hAnsi="Times New Roman" w:cs="Times New Roman"/>
          <w:b/>
          <w:color w:val="000000"/>
          <w:sz w:val="24"/>
          <w:szCs w:val="24"/>
          <w:lang w:eastAsia="sk-SK"/>
        </w:rPr>
        <w:t xml:space="preserve">Príloha č. 3 Opis predmetu obstarávania </w:t>
      </w:r>
    </w:p>
    <w:p w:rsidR="00D9755A" w:rsidRPr="00BA423F" w:rsidRDefault="00D9755A" w:rsidP="00D9755A">
      <w:pPr>
        <w:spacing w:before="120" w:after="120" w:line="259" w:lineRule="auto"/>
        <w:contextualSpacing/>
        <w:rPr>
          <w:rFonts w:ascii="Times New Roman" w:eastAsia="Arial CE" w:hAnsi="Times New Roman" w:cs="Times New Roman"/>
          <w:b/>
          <w:color w:val="000000"/>
          <w:sz w:val="24"/>
          <w:szCs w:val="24"/>
          <w:lang w:eastAsia="sk-SK"/>
        </w:rPr>
      </w:pPr>
      <w:r w:rsidRPr="00BA423F">
        <w:rPr>
          <w:rFonts w:ascii="Times New Roman" w:eastAsia="Arial CE" w:hAnsi="Times New Roman" w:cs="Times New Roman"/>
          <w:b/>
          <w:color w:val="000000"/>
          <w:sz w:val="24"/>
          <w:szCs w:val="24"/>
          <w:lang w:eastAsia="sk-SK"/>
        </w:rPr>
        <w:t>Časť III.: Didaktické pracoviská</w:t>
      </w:r>
      <w:bookmarkStart w:id="0" w:name="_GoBack"/>
      <w:bookmarkEnd w:id="0"/>
    </w:p>
    <w:p w:rsidR="00D9755A" w:rsidRPr="0054748A" w:rsidRDefault="00D9755A" w:rsidP="00D9755A">
      <w:pPr>
        <w:spacing w:after="0" w:line="259" w:lineRule="auto"/>
        <w:rPr>
          <w:rFonts w:ascii="Arial CE" w:eastAsia="Arial CE" w:hAnsi="Arial CE" w:cs="Arial CE"/>
          <w:color w:val="000000"/>
          <w:sz w:val="18"/>
          <w:lang w:eastAsia="sk-SK"/>
        </w:rPr>
      </w:pPr>
    </w:p>
    <w:tbl>
      <w:tblPr>
        <w:tblStyle w:val="TableGrid2"/>
        <w:tblW w:w="9216" w:type="dxa"/>
        <w:tblInd w:w="-72" w:type="dxa"/>
        <w:tblCellMar>
          <w:top w:w="8" w:type="dxa"/>
          <w:left w:w="67" w:type="dxa"/>
        </w:tblCellMar>
        <w:tblLook w:val="04A0" w:firstRow="1" w:lastRow="0" w:firstColumn="1" w:lastColumn="0" w:noHBand="0" w:noVBand="1"/>
      </w:tblPr>
      <w:tblGrid>
        <w:gridCol w:w="587"/>
        <w:gridCol w:w="1958"/>
        <w:gridCol w:w="5709"/>
        <w:gridCol w:w="962"/>
      </w:tblGrid>
      <w:tr w:rsidR="00D9755A" w:rsidRPr="0054748A" w:rsidTr="00CE21BF">
        <w:trPr>
          <w:trHeight w:val="312"/>
        </w:trPr>
        <w:tc>
          <w:tcPr>
            <w:tcW w:w="8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1891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>VYBAVENIE ODBORNÝCH UČEBNÍ – didaktické pracoviská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9755A" w:rsidRPr="0054748A" w:rsidRDefault="00D9755A" w:rsidP="00CE21BF">
            <w:pPr>
              <w:spacing w:after="160" w:line="259" w:lineRule="auto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Časť 3.</w:t>
            </w:r>
          </w:p>
        </w:tc>
      </w:tr>
      <w:tr w:rsidR="00D9755A" w:rsidRPr="0054748A" w:rsidTr="00CE21BF">
        <w:trPr>
          <w:trHeight w:val="312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>P.č</w:t>
            </w:r>
            <w:proofErr w:type="spellEnd"/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 xml:space="preserve">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 xml:space="preserve">Názov výdavku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 xml:space="preserve">Minimálne technické požiadavky a špecifikácia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b/>
                <w:color w:val="000000"/>
                <w:sz w:val="18"/>
              </w:rPr>
              <w:t xml:space="preserve">Množstvo </w:t>
            </w:r>
          </w:p>
        </w:tc>
      </w:tr>
      <w:tr w:rsidR="00D9755A" w:rsidRPr="0054748A" w:rsidTr="00CE21BF">
        <w:trPr>
          <w:trHeight w:val="52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14.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36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proofErr w:type="spellStart"/>
            <w:r w:rsidRPr="0054748A">
              <w:rPr>
                <w:rFonts w:ascii="Arial" w:eastAsia="Arial CE" w:hAnsi="Arial" w:cs="Arial"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54748A">
              <w:rPr>
                <w:rFonts w:ascii="Arial" w:eastAsia="Arial CE" w:hAnsi="Arial" w:cs="Arial"/>
                <w:bCs/>
                <w:color w:val="000000"/>
                <w:sz w:val="18"/>
                <w:szCs w:val="18"/>
              </w:rPr>
              <w:t xml:space="preserve"> zariadení pre pracoviská s programovateľným automatom – 5 pracovísk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programovateľným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automatom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každé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zložení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upravený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programovateľný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automat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automat SIMATIC S7-1200 14DE,10DA,2AE,1AA, 24V/5A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TIA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portálom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osadené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ktorý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používanie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upínacom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položenie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PLC: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SIMATIC S7-1200 s CPU 1214C DC/DC/DC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24V/5ADC,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núdzový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stop,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STEP7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verzie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10.5,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profilová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lišta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doplnenie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Master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Ethernet /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ProfiNet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24V, DC,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vyvedených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Každý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osadený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signálu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vyvedené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potenciometer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signálu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vyvedený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24V, DC,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vyvedených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vyvedený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pólmi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569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Farebný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WinCC Basic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verzia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13.0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vyššia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podsvietenie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MTBF,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dotyková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obrazovka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7",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rozlíšenie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800x480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PROFINET.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Dopravník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, 24V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Dvojpásový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ktorý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poháňaný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koncovej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staníc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spodná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DP Slave.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vytvárať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ďalšími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ktorá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môže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pomocou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PLC.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600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šírka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900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rozteč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pásov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120 mm,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motor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 V DC,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PWM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variabilnou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plynulé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potenciometrom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 V,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ručné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prepínača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vľavo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vpravo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indukčné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koncovej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dvakrát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M12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doplnkové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akčné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členy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núdzový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stop,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externé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pólový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LOGO!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PLC,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inkrementálny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disk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optickým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DP Slave: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adresára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vizualizácia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 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aktuálnom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stave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prekrytý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plexisklom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pólová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DSUB,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adresy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otočným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prenosová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 Mbit/s,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GSD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dáta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software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napríklad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Step 7,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25-pólová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DSUB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500 mA.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PLC S7 PC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USB/MPI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prevodníkom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prenos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PC do PLC s USB/MPI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prevodníkom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Komunikačný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S7-1200 na Profibus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Komunikačný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SCM1234-5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S7-1200 na PPROFIBUS. Modul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programovateľným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S7-1200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slúžiť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PROFIBUS-Master.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Komunikačný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S7-1200 na AS-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Bus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Komunikačný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SCM1234-2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S7-1200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zbernicu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Modul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programovateľným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S7-1200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slúžiť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-Master.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ILA: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Modely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Touchpanel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Rámový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T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nohami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posch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PLC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oceľovými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nohami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T, 30x 20 x2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priečne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hliníkové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lišty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vymedzovacími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kartáčmi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medzi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lištami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šírka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724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 mm.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pripojovacích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simulátora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k PLC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pripojovacích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 PLC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dráhy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sériový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9/9 -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pólový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DSUB25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koncovkami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1,5m,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PROFINET 1,5m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priamym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90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stupňovým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1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konvertor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na PROFINET.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4mm/25 cm,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červený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4mm/25 cm,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červený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2,5 mm2, 600 V CAT III, ~ 1000 V CAT II, 32 A.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Systémový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 PLC</w:t>
            </w:r>
            <w:proofErr w:type="gram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 AS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-Interface Slave,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M12,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DSUB 9, DSUB25.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Paleta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Paleta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DxŠxV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180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x119x15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indikátor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4-bitový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identifikačný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Vrchný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diel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Vrchný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diel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farba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biela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magnetická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fixácia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spodného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gulička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pružinou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fixáciu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bolca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DxŠxV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100x50x40 mm. </w:t>
            </w:r>
          </w:p>
          <w:p w:rsidR="00D9755A" w:rsidRPr="0054748A" w:rsidRDefault="00D9755A" w:rsidP="00D9755A">
            <w:pPr>
              <w:numPr>
                <w:ilvl w:val="1"/>
                <w:numId w:val="1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diel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</w:p>
          <w:p w:rsidR="00D9755A" w:rsidRPr="0054748A" w:rsidRDefault="00D9755A" w:rsidP="00CE21BF">
            <w:pPr>
              <w:spacing w:after="120" w:line="265" w:lineRule="auto"/>
              <w:ind w:left="851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Spodný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diel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farba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magnetická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fixácia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spodného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DxŠxV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100x50x40 mm. </w:t>
            </w:r>
          </w:p>
          <w:p w:rsidR="00D9755A" w:rsidRPr="0054748A" w:rsidRDefault="00D9755A" w:rsidP="00CE21BF">
            <w:pPr>
              <w:spacing w:after="60" w:line="265" w:lineRule="auto"/>
              <w:ind w:left="569" w:hanging="10"/>
              <w:contextualSpacing/>
              <w:jc w:val="both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sfunkčnenie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učiteľov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Sada</w:t>
            </w:r>
            <w:proofErr w:type="spellEnd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 xml:space="preserve"> 1,000 </w:t>
            </w:r>
          </w:p>
        </w:tc>
      </w:tr>
      <w:tr w:rsidR="00D9755A" w:rsidRPr="0054748A" w:rsidTr="00CE21BF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15.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proofErr w:type="spellStart"/>
            <w:r w:rsidRPr="0054748A">
              <w:rPr>
                <w:rFonts w:ascii="Arial" w:eastAsia="Arial CE" w:hAnsi="Arial" w:cs="Arial"/>
                <w:bCs/>
                <w:color w:val="000000"/>
                <w:sz w:val="18"/>
                <w:szCs w:val="18"/>
              </w:rPr>
              <w:t>Sada</w:t>
            </w:r>
            <w:proofErr w:type="spellEnd"/>
            <w:r w:rsidRPr="0054748A">
              <w:rPr>
                <w:rFonts w:ascii="Arial" w:eastAsia="Arial CE" w:hAnsi="Arial" w:cs="Arial"/>
                <w:bCs/>
                <w:color w:val="000000"/>
                <w:sz w:val="18"/>
                <w:szCs w:val="18"/>
              </w:rPr>
              <w:t xml:space="preserve"> zariadení pre pracoviská “základy robotiky” – 5 pracovísk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robotiky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" - 5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každé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zložení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Manipulačný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robot Mover4 HD, 4 Axis, 500 g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Manipulačný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robot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manipulovaného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bremena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min. 500 g,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dosah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ramena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chápadlom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550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paralelné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chápadlo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9-pólové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CAN,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polohovania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1-3 mm,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 4 kg,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12V. 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IMS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upínacia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platňa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robot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platňa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robot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zabezpečovať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stabilnú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Platňa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projektovej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práce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kombinujúce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stanicu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zrozumiteľne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manipulačný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priestor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odkladacie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plochy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pevne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definované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rozostupy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dráhy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E -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ILA: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školského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</w:p>
          <w:p w:rsidR="00D9755A" w:rsidRPr="0054748A" w:rsidRDefault="00D9755A" w:rsidP="00CE21BF">
            <w:pPr>
              <w:spacing w:after="240" w:line="265" w:lineRule="auto"/>
              <w:ind w:left="72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tematikou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školského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”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čítania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pokrývať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témy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vysvetľované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pomocou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textu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obrázkov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animácií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hardvéru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manipulačný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priestor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komunikácie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zmeny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3D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Joypad,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pohybov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korekcií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textový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hotové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projekty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prekladanie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odvoz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spracovanie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orientácia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obrobku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PLC,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PLC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E -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Automatizácia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3: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robotiky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príslušenstvom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tematikou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Automatizácia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čítania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pokrývať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témy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vysvetľované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pomocou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textu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obrázkov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animácií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priemyslových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ich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pohybov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pohybov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súradnicové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́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zrýchlenie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pohyby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Joint a Cart,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zlúčenie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PLC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dopravníka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robotickej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bunky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Sériový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9/9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polový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Sériový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9/9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kombinácia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koncoviek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2m.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4mm, 100 cm,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Bezpečnostný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4mm/100 cm,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červený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2,5 mm2, 600 V CAT III, ~ 1000 V CAT II, 32 A. </w:t>
            </w:r>
          </w:p>
          <w:p w:rsidR="00D9755A" w:rsidRPr="0054748A" w:rsidRDefault="00D9755A" w:rsidP="00D9755A">
            <w:pPr>
              <w:numPr>
                <w:ilvl w:val="1"/>
                <w:numId w:val="2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4mm, 100 cm,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červený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4mm/100 cm,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2,5 mm2, 600 V CAT III, ~ 1000 V CAT II, 32 A. </w:t>
            </w:r>
          </w:p>
          <w:p w:rsidR="00D9755A" w:rsidRPr="0054748A" w:rsidRDefault="00D9755A" w:rsidP="00CE21BF">
            <w:pPr>
              <w:spacing w:after="60" w:line="265" w:lineRule="auto"/>
              <w:ind w:left="569" w:hanging="10"/>
              <w:contextualSpacing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sfunkčnenie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učiteľov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 xml:space="preserve">1,000 </w:t>
            </w:r>
          </w:p>
        </w:tc>
      </w:tr>
      <w:tr w:rsidR="00D9755A" w:rsidRPr="0054748A" w:rsidTr="00CE21BF">
        <w:trPr>
          <w:trHeight w:val="52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16.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>Technologické stoly pre mechatroniku (30 ks žiacke pracoviská a 3 pracoviská majstra OV) /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Technologické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stoly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mechatroniku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- 30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žiacke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+ 3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OV </w:t>
            </w:r>
          </w:p>
          <w:p w:rsidR="00D9755A" w:rsidRPr="0054748A" w:rsidRDefault="00D9755A" w:rsidP="00CE21BF">
            <w:pPr>
              <w:spacing w:before="120" w:line="265" w:lineRule="auto"/>
              <w:ind w:left="402" w:hanging="1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tri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č.25, 26, 27.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žiackych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Jeden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vybavenie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+1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MOV).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Modulárne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prevedenie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nakonfigurované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podľa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požiadaviek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cieľom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zabezpečenia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kvalitnej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elektrotechnik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3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Technologický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žiacke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obojstrannou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prístrojovou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nadstavbou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(2000 mm),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osadený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modulmi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nasledovne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230V, 50Hz, 10A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päťkolík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10A,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prepojovacie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svorky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 rad /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svoriek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do 10A,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laboratórny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x 0 ÷ 255V / 2A,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stabilizovaný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ručičkový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voltmeter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ampérmeter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250V 15A,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autotransformátor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 / 2A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možnostou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 / DC,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Mikrospájkovačka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 ÷ 450°C / 35W,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Multimeter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APPA 106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chránič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tlačidlo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TOTAL STOP (10 A),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1"/>
                <w:numId w:val="3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doska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stola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priama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výrezov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D9755A" w:rsidRPr="0054748A" w:rsidRDefault="00D9755A" w:rsidP="00D9755A">
            <w:pPr>
              <w:numPr>
                <w:ilvl w:val="2"/>
                <w:numId w:val="3"/>
              </w:numPr>
              <w:spacing w:after="120"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žiackych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CE21BF">
            <w:pPr>
              <w:spacing w:after="60" w:line="265" w:lineRule="auto"/>
              <w:ind w:left="567" w:hanging="10"/>
              <w:contextualSpacing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ich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sprevádzkovanie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dielňach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určených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odberateľom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výrobky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certifikované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zmysle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príslušných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predpisov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Sada</w:t>
            </w:r>
            <w:proofErr w:type="spellEnd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 xml:space="preserve"> 1,000 </w:t>
            </w:r>
          </w:p>
        </w:tc>
      </w:tr>
      <w:tr w:rsidR="00D9755A" w:rsidRPr="0054748A" w:rsidTr="00CE21BF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17.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>Technologické stoly pre elektrotechniku (30 ks žiacke pracoviská a 3 ks pracoviská majstra OV)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Technologické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stoly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elektrotechniku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- 30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žiacke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+ 3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OV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tri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elektrotechnické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č.34,35,36.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žiackych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Jeden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vybavenie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dielni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+1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(MOV).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Modulárne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prevedenie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nakonfigurované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podľa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požiadaviek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cieľom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zabezpečenia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kvalitnej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elektrotechnik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mechatronik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4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Technologický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(2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žiacke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)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elektrotechniku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jednostrannou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prístrojovou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nadstavbou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lastRenderedPageBreak/>
              <w:t>(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2000 mm),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osadený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modulmi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nasledovne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230V, 50Hz, 16A CZ,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Prepojovacie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svorky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 rad /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svoriek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do 24VAC/10A,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laboratórny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regulovateľný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0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÷ 30V / 4A 5V / 3A,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Čítač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Multimeter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APPA 106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dvojkanálový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osciloskop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25MHz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farebným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LCD,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Mikrospájkovačka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 ÷ 450°C / 35W,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chránič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tlačidlo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TOTAL STOP (10 A),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1"/>
                <w:numId w:val="4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Technologický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elektrotechniku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jednostrannou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prístrojovou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nadstavbou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1400 mm) –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pracovisko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majstra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odbornej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výchovy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osadený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modulmi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nasledovne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žiackych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elektronikou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Multimeter 4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1/2 digit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V - A - Ohm - Hz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hfe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RS,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dvojkanálový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osciloskop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100MHz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farebným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LCD,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laboratórny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regulovateľný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  0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÷ 30V / 4A 5V / 3A,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230V, 50Hz, 16A,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Mikrospájkovačka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 ÷ 450°C / 35W,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Čítač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D9755A">
            <w:pPr>
              <w:numPr>
                <w:ilvl w:val="2"/>
                <w:numId w:val="4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chránič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tlačidlo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 STOP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(10 A)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vypnutie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žiackych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pracovísk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- 1</w:t>
            </w:r>
          </w:p>
          <w:p w:rsidR="00D9755A" w:rsidRPr="0054748A" w:rsidRDefault="00D9755A" w:rsidP="00CE21BF">
            <w:pPr>
              <w:spacing w:after="60" w:line="265" w:lineRule="auto"/>
              <w:ind w:left="567" w:hanging="10"/>
              <w:contextualSpacing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ich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sprevádzkovanie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dielňach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určených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odberateľom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výrobky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certifikované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zmysle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príslušných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predpisov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Sada</w:t>
            </w:r>
            <w:proofErr w:type="spellEnd"/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 xml:space="preserve"> 1,000 </w:t>
            </w:r>
          </w:p>
        </w:tc>
      </w:tr>
      <w:tr w:rsidR="00D9755A" w:rsidRPr="0054748A" w:rsidTr="00CE21BF">
        <w:trPr>
          <w:trHeight w:val="835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t>18.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rPr>
                <w:rFonts w:ascii="Arial CE" w:eastAsia="Arial CE" w:hAnsi="Arial CE" w:cs="Arial CE"/>
                <w:color w:val="000000"/>
                <w:sz w:val="18"/>
                <w:szCs w:val="18"/>
              </w:rPr>
            </w:pPr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>Súprava zariadenia pre vyhľadávanie chýb na elektrických strojoch 300 W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vyhľadávanie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chýb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strojoch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vyhľadávanie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chýb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strojoch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300W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orientovaný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prax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získanie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kompetencií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súlade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aktuálnym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využíva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lisované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obojstranne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pokryté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melanínom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panela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sieťotlačou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nanesený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schematický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namontovaného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zodpovedá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DIN A4.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jednoducho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hliníkový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prispôsobené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požiadavky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škôl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simulátor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závad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trojfázové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asynchrónne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závad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krúžkovou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kotvou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svorkovnicu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prebiehať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stave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závad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prerušenie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skrat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prerušenie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cievke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prerušenie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cievkach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simulátora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170x140x110 mm.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izolácie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izolácie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izolačného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10kOhm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  999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MOhm,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voliteľné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testovacie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50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V/100V/250V/500V/1000V,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0,01Ohm do 99,9Ohm,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&gt;25V do 600V AC/DC,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výstraha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napätím</w:t>
            </w:r>
            <w:proofErr w:type="spellEnd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"  &gt;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každej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vybíjanie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kondenzátorových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obvodov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testovaní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pamäť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dáta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Min/Max,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ukladanie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posledných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výstrahy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dosiahnutí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hraničných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(Go/No Go)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MOhm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izolačného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od 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do 5 min,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priechodnosti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programovateľnými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hraničnými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prechodových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akustickým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upozornením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stopiek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indikácia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prepálených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poistiek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 Power Off.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EEM/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Vyhľadávanie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porúch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strojoch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Printová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farebná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prerušenie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cievkach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porucha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izolácie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voči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porucha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izolácie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vinutie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voči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kostre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kombinácie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porúch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posúdenie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porúch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upozornenia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opravách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W  –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vrátane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kompletným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testovacím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dynamická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štvorkvadrantnom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zotrvačníková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zdvíhadla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navíjačky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ventilátora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kompresora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kalandra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definovaná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závislosťou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synchronizácia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galvanicky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zosilňovač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monitor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štyroch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prítomnosti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 V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45..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 Hz, 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4kVA,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297x460x420mm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chladením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/min,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moment 10Nm,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priebežná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KTY,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rozlíšenie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resolvera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65536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impulzov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275x210x210mm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obsiahnutými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simultánne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hraničných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generátorického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ľubovoľného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brzdení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viacerých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export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Neoprénová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vnútorným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40x45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motor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motor,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vyhotovenie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klietkovou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kotvou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690/400 V, 50 Hz,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0,6 A / 1 A,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2800 min-1,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0,37 kW,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(cos phi): 0,83,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340 x 210 x 210 mm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).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0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makrolon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pásik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115x90x60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Quick Chart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upozornenia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pokynmi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servobrzde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napájací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synchrónne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L2, L3, N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240V 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skratom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preťažením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3-10A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nastaviteľným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limitom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druhý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210V DC, 6A,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motorový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6,3-16A,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podpäťová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poistky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L2. L3,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297x228x140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analógový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multimeter,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účinníku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Multifunkčný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uhol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fázy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ohľadu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signálu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600V a 20A,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zreťazené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zdanlivý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účinník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celkovú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aritmetickú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strednú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nezničiteľný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veľký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5,7"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podsvietením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kvázi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2%,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meracieho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230V.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dodávaný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spolu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ďalších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osciloskopicky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používať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14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čierna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modrá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žltá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2,5 mm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2 ,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600V/3A CAT II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 31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kusov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2,5 mm2, 600V CAT II, 32A.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 6 x 25cm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x 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 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 x 100cm červený,1 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hnedý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5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pojazdný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hliníkových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profilov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1250x700x1955 mm, 3-posch., 6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vrátane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rozvádzač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- 2x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400V, 16A,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kolíkové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3-pólový LS B 16A,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230/400V, 50/60Hz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zástrčku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4 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12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drážkami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48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šírkového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kĺbmi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rýchloupínačom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umožňujúcim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 kg,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VESA 75a VESA100,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480 mm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plynulým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5"/>
              </w:numPr>
              <w:spacing w:after="120"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klávesnice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after="60" w:line="265" w:lineRule="auto"/>
              <w:ind w:left="569" w:hanging="10"/>
              <w:contextualSpacing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sfunkčnenie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učiteľov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deň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1,000</w:t>
            </w:r>
          </w:p>
        </w:tc>
      </w:tr>
      <w:tr w:rsidR="00D9755A" w:rsidRPr="0054748A" w:rsidTr="00CE21BF">
        <w:trPr>
          <w:trHeight w:val="63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19.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36"/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</w:pPr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 xml:space="preserve">Súprava zariadenia pre technika pohonov – </w:t>
            </w:r>
            <w:proofErr w:type="spellStart"/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>servopohony</w:t>
            </w:r>
            <w:proofErr w:type="spellEnd"/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 xml:space="preserve"> 300 W</w:t>
            </w:r>
          </w:p>
          <w:p w:rsidR="00D9755A" w:rsidRPr="0054748A" w:rsidRDefault="00D9755A" w:rsidP="00CE21BF">
            <w:pPr>
              <w:spacing w:line="259" w:lineRule="auto"/>
              <w:ind w:right="36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servopohony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orientovaný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prax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získanie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kompetencií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súlade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aktutálnym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využíva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lisované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D4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hliníkový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panela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sieťotlačou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nanesený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schematický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namontovaného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 z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prispôsobené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požiadavky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škôl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vlastnou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vlastnou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štyroch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pulzným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IGBT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DSP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preťaženia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Matlab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voliteľné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PWM,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inkrementálny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tranzistor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1kVA,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297x460x210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oddeľovací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transformátor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3-fázový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oddeľovací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transformátor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300VA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slúžiaci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zapojenia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výkonovej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3x 400V, 50Hz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zástrčku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1: 3x 94V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stredným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47V,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2: 3x 400V,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oddelenými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termomagnetickými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podpäťovou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300VA,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297 x 228 x 160mm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after="240" w:line="265" w:lineRule="auto"/>
              <w:ind w:left="1077" w:hanging="10"/>
              <w:contextualSpacing/>
              <w:jc w:val="both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výkonovú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elektroniku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slúži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ohmická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- 3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samostatné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rezistory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600 Ohm,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100W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indikátormi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smeru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intenzity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indukčná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3x 0,2H, 0,5A,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 x 228 x 120mm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ILA :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Obvody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vlastnou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ILA: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Obvody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vlastnou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témy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IGBT,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princípy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PWM,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1, 2 a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nízkofrekvenčného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PWM,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obvody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znižovač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mostík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ohmická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kapacitná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indukčná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obvod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medziobvod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naprázdno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charakteristiky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krokové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diagramy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taktovacia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zvlnenie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analýza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synchrónny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servomotor 0,3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servomotor 0,3kW,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napätie230V,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2,9A,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6000,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0,6 kW,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340x210x210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inkrementálny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Inkrementálny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polohy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1024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impulzov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6000,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1,7 kg,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priechodná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ILA: Servomotor, motor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ILA: Servomotor, motor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témy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servomotorov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komutáciou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analýza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vektorovej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vyšetrovanie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koordinačného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počítačom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podporované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animácia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vrátane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kompletným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testovacím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dynamická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štvorkvadrantnom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zotrvačníková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zdvíhadla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navíjačky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ventilátora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kompresora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kalandra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definovaná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závislosťou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synchronizácia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galvanicky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zosilňovač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monitor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štyroch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prítomnosti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 V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45..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 Hz, 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4kVA,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297x460x420mm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chladením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/min,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moment 10Nm,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priebežná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KTY,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rozlíšenie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resolvera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65536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impulzov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275x210x210mm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obsiahnutými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simultánne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hraničných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generátorického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ľubovoľného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brzdení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viacerých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export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Neoprénová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s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vnútorným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40x45 mm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</w:t>
            </w: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motor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motor,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vyhotovenie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klietkovou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kotvou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690/400 V, 50 Hz,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0,6 A / 1 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2800 min-1,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0,37 kW,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(cos phi): 0,83,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340 x 210 x 210 mm (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3  kW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makrolon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pásik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115x90x60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Quick Chart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upozornenia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pokynmi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servobrzde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napájací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synchrónne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L2, L3, N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240V 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skratom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preťažením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3-10A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nastaviteľným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limitom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druhý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210VDC, 6A,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motorový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6,3-16A,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podpäťová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poistky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L2. L3,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297x228x140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analógový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multimeter,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účinníku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Multifunkčný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uhol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fázy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ohľadu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signálu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600V a 20A,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zreťazené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zdanlivý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účinník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celkovú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aritmetickú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strednú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nezničiteľný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veľký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5,7"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podsvietením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kvázi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2%,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meracieho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230V.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dodávaný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spolu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ďalších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osciloskopicky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používať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14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čierna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modrá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mms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žltá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2,5 mm</w:t>
            </w:r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2 ,</w:t>
            </w:r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600V/3A CAT II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6x 25cm,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100cm červený,1x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hnedý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6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pojazdný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hliníkových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profilov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1250x700x1955 mm, 3-posch., 6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vrátane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rozvádzač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- 2x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400V, 16A,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kolíkové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3-pólový LS B 16A,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230/400V, 50/60Hz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zástrčku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4 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12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drážkami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48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šírkového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kĺbmi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rýchloupínačom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umožňujúcim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 kg,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VESA 75a VESA100,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480 mm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plynulým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6"/>
              </w:numPr>
              <w:spacing w:after="120"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klávesnice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after="60" w:line="265" w:lineRule="auto"/>
              <w:ind w:left="569" w:hanging="10"/>
              <w:contextualSpacing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sfunkčnenie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učiteľov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deň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1,000</w:t>
            </w:r>
          </w:p>
        </w:tc>
      </w:tr>
      <w:tr w:rsidR="00D9755A" w:rsidRPr="0054748A" w:rsidTr="00CE21BF">
        <w:trPr>
          <w:trHeight w:val="629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jc w:val="both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20.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Calibri" w:eastAsia="Arial CE" w:hAnsi="Calibri" w:cs="Calibri"/>
                <w:bCs/>
                <w:color w:val="000000"/>
                <w:sz w:val="20"/>
                <w:szCs w:val="20"/>
              </w:rPr>
              <w:t>Súprava zariadenia pre technika pohonov – pohony s frekvenčným jednofázovým meničom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pohony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jednofázovým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meničom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orientovaný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prax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získanie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kompetencií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súlade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aktutálnym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využíva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praktickú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lisované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obojstranne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pokryté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melanínom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panela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sieťotlačou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nanesený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schematický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namontovaného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zodpovedá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DIN A4.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jednoducho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hliníkový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prispôsobené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požiadavky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škôl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0,3kW n=1400 (230V/400V)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400/230 V, 50 Hz,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1,2/2,1 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1380 min-1,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0,37 kW,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účinník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0,76,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340 x 210 x 210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 kg.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0,75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didakticky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upravený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najnovšej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vysoký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750 W,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mikroprocesorom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lineárne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kvadratické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charakteristiky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U/f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vektorové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tranzistor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PID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software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CAN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750 W 1,5kVA,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180-264V, 50/60 Hz,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0-3x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0-100V,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0-4A,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297x456x130mm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.-</w:t>
            </w:r>
            <w:proofErr w:type="gramEnd"/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brzdový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odpor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0,2 kW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ktorý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spoločne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energiu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rezistor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200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Ohm,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menovitý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200W,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 400V,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297x114x130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diagnostický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diagnostický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oddelenými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potenciálmi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diagnostický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2,5 m, 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110 x 60 x 30mm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ILA: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Priemyslový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mäkký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rozbeh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0,3/ 1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zbierka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úloh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ILA: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mäkký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rozbeh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03/1kW.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interaktívne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návody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cvičenia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formuláre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protokoly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otázky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vedomostí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Quick Chart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frekvenčný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menič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8400,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jednofázový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pokynmi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300 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vrátane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kompletným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testovacím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dynamická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štvorkvadrantnom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zotrvačníková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zdvíhadla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navíjačky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ventilátora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kompresora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kalandra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voľne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definovaná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záťaž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závislosťou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synchronizácia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galvanicky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oddelený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zosilňovač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monitor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štyroch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kvadrantov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prítomnosti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 V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45..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 Hz, 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4kVA,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297x460x420mm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asynchrónny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servostroj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chladením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/min,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moment 10Nm,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priebežná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teploty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KTY,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rozlíšenie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resolvera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65536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impulzov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275x210x210mm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ŠxVxH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výpočet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obsiahnutými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simultánne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hraničných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generátorického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krútiaceho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momentu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ľubovoľného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brzdení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režime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viacerých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export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Neoprénová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vnútorným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40x45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dĺžka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Ozubenie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 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brzdy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 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0,3  kW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Priehľadný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kryt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spojky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hriadeľ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300W,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materiál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makrolon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pásik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115x90x60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Quick Chart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Servobrzda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upozornenia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pokynmi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frekvenčnému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meniču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Popisy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slovenskom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Plagát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laminovaný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napájací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Univerzálne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synchrónne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trojfázové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L2, L3,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mm,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jednosmerné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240V DC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elektronickou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reguláciou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skratom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preťažením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3-10A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nastaviteľným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limitom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druhý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JS.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210VDC, 6 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motorový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6,3-16A,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podpäťová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tavné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poistky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L1, L2, L3,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297x228x140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analógový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digitálny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multimeter,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účinníku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Multifunkčný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uhol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fázy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ohľadu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signálu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600V a 20A,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zreťazené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vypočítať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zdanlivý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účinník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celkovú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striedavú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efektívnu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aritmetickú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strednú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nezničiteľný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veľký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displej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5,7"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podsvietením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kvázi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USB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2%,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automatická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manuálna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voľba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meracieho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dodávaný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spolu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dokázať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ďalších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hodnôt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osciloskopicky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zobraziť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priebeh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prúdu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výkonu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používať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14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veličín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čierna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modrá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žltá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 s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vývodom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, 1000V/32A CAT II – 2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31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meracích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4 mm,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prierez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vodiča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2,5 mm2 ,600V/3A CAT II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obsahovať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6x 25cm,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červený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1x 100cm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modrý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1x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žltý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zelený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hnedý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čierny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4x 150cm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šedý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pojazdný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hliníkových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profilov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1250x700x1955 mm, 3-posch., 6 </w:t>
            </w:r>
            <w:proofErr w:type="spellStart"/>
            <w:proofErr w:type="gram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zásuvka,vrátane</w:t>
            </w:r>
            <w:proofErr w:type="spellEnd"/>
            <w:proofErr w:type="gram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rozvádzač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- 2x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400V, 16A, 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kolíkové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istič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3-pólový LS B 16A,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sieť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230/400V, 50/60Hz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cez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CEE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zástrčku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4 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12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drážkami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48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vodičov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plechu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šírkového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ľavú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rameno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kĺbmi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rýchloupínačom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umožňujúcim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prestavenie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nosnosťou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 kg,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VESA 75a VESA100,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odstup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rozsahu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105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480 mm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plynulým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nastavením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after="120"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klávesnice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PC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ochranný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stojan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prevodovka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ramenom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ramenom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slúžiacu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redukciu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otáčok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900:1,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160x300x170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mechanický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kladkou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obojstranného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ovládania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pripevnenie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Zaťaženie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kontaktov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400V/ 6 A.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 kg.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indukčný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Indukčný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vzdialenosť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 mm,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 V 400 mA,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 kg.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kapacitný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Kapacitný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vzdialenosť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20 mm,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 VDC 250 mA,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 kg.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optický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upínania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prevodovku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menovitá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vzdialenosť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 mm,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funkcie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 VDC 250 mA,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hmotnosť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 kg.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kábel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Profibus. 3-metrový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prepojovací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Profibus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Prepojovací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konektor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s PG-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ukončovacím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odporom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CLP 20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systémov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Viazaná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farebná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Učebnica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pokrývať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nasledovný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potrebné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prístroje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upozornenia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úvod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pevnej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frekvencie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zadanou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zadanou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hodnotou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Obsluha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dotykového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prostredníctvom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PROFIBUS DP.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programovateľný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automat–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modulárny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tréningový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 PLC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báze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S7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séria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Voľne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prístupné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profilové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lišty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umožňujú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doplnenie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rôznymi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Integrovaná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zbernica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umožňuje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jednoduché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pripojenie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doplnkových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modulov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parametre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SIMATIC S7-300 s CPU 314C-2PN/DP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ekvivalent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stabilná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konštrukcia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nevodivom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paneli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výškovým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formátom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A4,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možnosťou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upnutia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položenia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stôl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ntegrované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24V/6A DC,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núdzový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stop,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pamäť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192 kB,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jazyk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STEP 7,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časy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spracovania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0,1 µs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bitové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0,2 µs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slovné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operácie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čítač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256,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256 ,</w:t>
            </w:r>
            <w:proofErr w:type="gramEnd"/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MPI- / PROFIBUS-DP-Master/Slave,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rozhrania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Ethernet /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ProfiNet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DC 24 V na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prepínačov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digitálnych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 V na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potenciometer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simuláciu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vstupu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číslicových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24 V na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analógové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výstupy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0-10 V na 4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zdierkach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prevádzkové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napätie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230 V, </w:t>
            </w:r>
          </w:p>
          <w:p w:rsidR="00D9755A" w:rsidRPr="0054748A" w:rsidRDefault="00D9755A" w:rsidP="00D9755A">
            <w:pPr>
              <w:numPr>
                <w:ilvl w:val="2"/>
                <w:numId w:val="7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rozmery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297x456x125 mm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VxŠxH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1"/>
                <w:numId w:val="7"/>
              </w:numPr>
              <w:spacing w:before="120" w:line="256" w:lineRule="auto"/>
              <w:ind w:left="567" w:hanging="357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PLC S7 PC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ks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Adaptér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prenos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PC do PLC s USB/MPI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prevodníkom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after="60" w:line="265" w:lineRule="auto"/>
              <w:ind w:left="569" w:hanging="10"/>
              <w:contextualSpacing/>
              <w:jc w:val="both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sfunkčnenie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učiteľov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trvaní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deň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jc w:val="center"/>
              <w:rPr>
                <w:rFonts w:ascii="Arial CE" w:eastAsia="Arial CE" w:hAnsi="Arial CE" w:cs="Arial CE"/>
                <w:color w:val="000000"/>
                <w:sz w:val="18"/>
              </w:rPr>
            </w:pPr>
            <w:r w:rsidRPr="0054748A">
              <w:rPr>
                <w:rFonts w:ascii="Arial CE" w:eastAsia="Arial CE" w:hAnsi="Arial CE" w:cs="Arial CE"/>
                <w:color w:val="000000"/>
                <w:sz w:val="18"/>
              </w:rPr>
              <w:lastRenderedPageBreak/>
              <w:t>1,000</w:t>
            </w:r>
          </w:p>
        </w:tc>
      </w:tr>
      <w:tr w:rsidR="00D9755A" w:rsidRPr="0054748A" w:rsidTr="00CE21BF">
        <w:trPr>
          <w:trHeight w:val="331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left="5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Arial" w:eastAsia="Arial CE" w:hAnsi="Arial" w:cs="Arial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Arial" w:eastAsia="Arial CE" w:hAnsi="Arial" w:cs="Arial"/>
                <w:bCs/>
                <w:color w:val="000000"/>
                <w:sz w:val="18"/>
                <w:szCs w:val="18"/>
              </w:rPr>
              <w:t>Výukový panel – základy pneumatiky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A" w:rsidRPr="0054748A" w:rsidRDefault="00D9755A" w:rsidP="00CE21BF">
            <w:pPr>
              <w:spacing w:before="120" w:line="256" w:lineRule="auto"/>
              <w:ind w:left="79" w:hanging="1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Výukový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panel -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pneumatiky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Požadujeme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vzdelávací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prípravu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žiakov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orientovaný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prax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získanie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kompetencií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súlade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aktuálnym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stavom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Konkrétne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zapájanie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modelových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schém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reálnej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praxe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pomocou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mobilného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pracovného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Výukový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obsahuje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Mobilné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laboratórne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pracovisko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obojstrannou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profilovou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platňou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1100x700 mm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rámom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ER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zariadení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výučbu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vybavené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patentovaným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montážnym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systémom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Quick Fix,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prípojmi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dobre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dostupnej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hornej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strane</w:t>
            </w:r>
            <w:proofErr w:type="spellEnd"/>
            <w:proofErr w:type="gram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komponentov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prípojkami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Quick Star pre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hadice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PUN 4x 0,75 mm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štandardným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vnútorným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alebo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vonkajším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priemerom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Všetky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vyhotovené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priemyselnej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kvalite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dodávané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zásobníkoch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náradím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D9755A" w:rsidRPr="0054748A" w:rsidRDefault="00D9755A" w:rsidP="00CE21BF">
            <w:pPr>
              <w:spacing w:line="265" w:lineRule="auto"/>
              <w:ind w:left="850" w:hanging="1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Základná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obsahuje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komponenty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3/2 -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panel,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tlačidlový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zatvorený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3/2 -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panel,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tlačidlový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otvorený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5/2 -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panel,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3/2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montáž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panel,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zatvorený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3/2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pákový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valčekom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zatvorený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bezdotykový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snímač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prípojom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valec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časovač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normálne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zatvorený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spínací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3/2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5/2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pohonom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3x 5/2 –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dvojitý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riadiaci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ventil,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pneumatickým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pohonom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koncoch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kyvadlový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(OR)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dvojtlakový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(AND)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rýchlo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odvzdušňovací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jednocestný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škrtiaci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jednočinný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valec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dvojčinný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valec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zapínací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filtračným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regulačným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ventilom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tlakový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regulačný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ventil s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manometrom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manometer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viacnásobný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rozdeľovač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2x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plastové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hadice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Držiak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laboratórnych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káblov</w:t>
            </w:r>
            <w:proofErr w:type="spellEnd"/>
          </w:p>
          <w:p w:rsidR="00D9755A" w:rsidRPr="0054748A" w:rsidRDefault="00D9755A" w:rsidP="00D9755A">
            <w:pPr>
              <w:numPr>
                <w:ilvl w:val="2"/>
                <w:numId w:val="8"/>
              </w:numPr>
              <w:spacing w:line="256" w:lineRule="auto"/>
              <w:ind w:left="850" w:hanging="357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Pevná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zásuvková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jednotka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štyrmi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uzamkýnateľnými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zásuvkami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rozložiteľná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 s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bezpečnostnoubrzdou</w:t>
            </w:r>
            <w:proofErr w:type="spellEnd"/>
          </w:p>
          <w:p w:rsidR="00D9755A" w:rsidRPr="0054748A" w:rsidRDefault="00D9755A" w:rsidP="00CE21BF">
            <w:pPr>
              <w:spacing w:line="265" w:lineRule="auto"/>
              <w:ind w:left="493" w:hanging="1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Výukový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panel je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kompatibilný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simulačným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výukovým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softvérom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FluidSIM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® 5.</w:t>
            </w:r>
          </w:p>
          <w:p w:rsidR="00D9755A" w:rsidRPr="0054748A" w:rsidRDefault="00D9755A" w:rsidP="00CE21BF">
            <w:pPr>
              <w:spacing w:line="265" w:lineRule="auto"/>
              <w:ind w:left="493" w:hanging="10"/>
              <w:jc w:val="both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Súčasťou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musí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byť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dodanie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tovaru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doprava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miesto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plnenia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inštalovanie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zaškolenie</w:t>
            </w:r>
            <w:proofErr w:type="spellEnd"/>
            <w:r w:rsidRPr="00547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755A" w:rsidRPr="0054748A" w:rsidRDefault="00D9755A" w:rsidP="00CE21BF">
            <w:pPr>
              <w:spacing w:line="259" w:lineRule="auto"/>
              <w:ind w:right="45"/>
              <w:rPr>
                <w:rFonts w:ascii="Arial" w:eastAsia="Arial CE" w:hAnsi="Arial" w:cs="Arial"/>
                <w:color w:val="000000"/>
                <w:sz w:val="18"/>
                <w:szCs w:val="18"/>
              </w:rPr>
            </w:pPr>
            <w:r w:rsidRPr="0054748A">
              <w:rPr>
                <w:rFonts w:ascii="Arial" w:eastAsia="Arial CE" w:hAnsi="Arial" w:cs="Arial"/>
                <w:color w:val="000000"/>
                <w:sz w:val="18"/>
                <w:szCs w:val="18"/>
              </w:rPr>
              <w:lastRenderedPageBreak/>
              <w:t>1,000</w:t>
            </w:r>
          </w:p>
        </w:tc>
      </w:tr>
    </w:tbl>
    <w:p w:rsidR="00D9755A" w:rsidRPr="008B19CD" w:rsidRDefault="00D9755A" w:rsidP="00D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7E" w:rsidRPr="008B19CD" w:rsidRDefault="00D9755A" w:rsidP="008B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B7E" w:rsidRPr="008B19CD" w:rsidSect="00324B1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596916"/>
      <w:docPartObj>
        <w:docPartGallery w:val="Page Numbers (Bottom of Page)"/>
        <w:docPartUnique/>
      </w:docPartObj>
    </w:sdtPr>
    <w:sdtEndPr/>
    <w:sdtContent>
      <w:p w:rsidR="007C3B10" w:rsidRDefault="00D975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3B10" w:rsidRDefault="00D9755A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F5D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F1B042F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1541E6F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35C17759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3D2628A3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54417994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F201F8A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67D773F2"/>
    <w:multiLevelType w:val="hybridMultilevel"/>
    <w:tmpl w:val="9AE4C4EA"/>
    <w:lvl w:ilvl="0" w:tplc="ACC24012">
      <w:start w:val="1"/>
      <w:numFmt w:val="decimal"/>
      <w:lvlText w:val="%1"/>
      <w:lvlJc w:val="left"/>
      <w:pPr>
        <w:ind w:left="569" w:hanging="450"/>
      </w:pPr>
      <w:rPr>
        <w:rFonts w:hint="default"/>
        <w:color w:val="auto"/>
      </w:rPr>
    </w:lvl>
    <w:lvl w:ilvl="1" w:tplc="B45A61AC">
      <w:numFmt w:val="bullet"/>
      <w:lvlText w:val="•"/>
      <w:lvlJc w:val="left"/>
      <w:pPr>
        <w:ind w:left="1199" w:hanging="360"/>
      </w:pPr>
      <w:rPr>
        <w:rFonts w:ascii="Calibri" w:eastAsia="Times New Roman" w:hAnsi="Calibri" w:cs="Calibri" w:hint="default"/>
      </w:rPr>
    </w:lvl>
    <w:lvl w:ilvl="2" w:tplc="FA820E94">
      <w:start w:val="21"/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5A"/>
    <w:rsid w:val="0002014A"/>
    <w:rsid w:val="00224747"/>
    <w:rsid w:val="00610C61"/>
    <w:rsid w:val="008B19CD"/>
    <w:rsid w:val="00D9755A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D37"/>
  <w15:chartTrackingRefBased/>
  <w15:docId w15:val="{A7B574F4-75B5-4A32-89B5-A1D8443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7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2">
    <w:name w:val="TableGrid2"/>
    <w:rsid w:val="00D9755A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D9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6493</Words>
  <Characters>37013</Characters>
  <Application>Microsoft Office Word</Application>
  <DocSecurity>0</DocSecurity>
  <Lines>308</Lines>
  <Paragraphs>86</Paragraphs>
  <ScaleCrop>false</ScaleCrop>
  <Company/>
  <LinksUpToDate>false</LinksUpToDate>
  <CharactersWithSpaces>43420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Hrachovická, Monika</dc:creator>
  <cp:keywords/>
  <dc:description/>
  <cp:lastModifiedBy>Hrachovická, Monika</cp:lastModifiedBy>
  <cp:revision>1</cp:revision>
  <dcterms:created xsi:type="dcterms:W3CDTF">2019-04-03T06:50:00Z</dcterms:created>
  <dcterms:modified xsi:type="dcterms:W3CDTF">2019-04-03T06:51:00Z</dcterms:modified>
</cp:coreProperties>
</file>